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30" w:rsidRDefault="004C2930" w:rsidP="004C2930">
      <w:pPr>
        <w:autoSpaceDE w:val="0"/>
        <w:autoSpaceDN w:val="0"/>
        <w:adjustRightInd w:val="0"/>
        <w:spacing w:line="480" w:lineRule="auto"/>
      </w:pPr>
      <w:proofErr w:type="spellStart"/>
      <w:r w:rsidRPr="003A5C32">
        <w:t>Denzin</w:t>
      </w:r>
      <w:proofErr w:type="spellEnd"/>
      <w:r w:rsidRPr="003A5C32">
        <w:t xml:space="preserve">, N. K. (2003) </w:t>
      </w:r>
      <w:r w:rsidRPr="003A5C32">
        <w:rPr>
          <w:i/>
        </w:rPr>
        <w:t>Performance Ethnography: Critical Pedagogy and the Politics of Culture</w:t>
      </w:r>
      <w:r w:rsidRPr="003A5C32">
        <w:t xml:space="preserve">. </w:t>
      </w:r>
      <w:smartTag w:uri="urn:schemas-microsoft-com:office:smarttags" w:element="City">
        <w:r w:rsidRPr="003A5C32">
          <w:t>Thousand Oaks</w:t>
        </w:r>
      </w:smartTag>
      <w:r w:rsidRPr="003A5C32">
        <w:t xml:space="preserve">, </w:t>
      </w:r>
      <w:r>
        <w:t>CA</w:t>
      </w:r>
      <w:r w:rsidRPr="003A5C32">
        <w:t xml:space="preserve">: Sage.  </w:t>
      </w:r>
    </w:p>
    <w:p w:rsidR="004C2930" w:rsidRPr="003A5C32" w:rsidRDefault="004C2930" w:rsidP="004C2930">
      <w:pPr>
        <w:autoSpaceDE w:val="0"/>
        <w:autoSpaceDN w:val="0"/>
        <w:adjustRightInd w:val="0"/>
        <w:spacing w:line="480" w:lineRule="auto"/>
      </w:pPr>
    </w:p>
    <w:p w:rsidR="004C2930" w:rsidRPr="003A5C32" w:rsidRDefault="004C2930" w:rsidP="004C2930">
      <w:pPr>
        <w:autoSpaceDE w:val="0"/>
        <w:autoSpaceDN w:val="0"/>
        <w:adjustRightInd w:val="0"/>
        <w:spacing w:line="480" w:lineRule="auto"/>
      </w:pPr>
      <w:proofErr w:type="spellStart"/>
      <w:r w:rsidRPr="003A5C32">
        <w:t>Geertz</w:t>
      </w:r>
      <w:proofErr w:type="spellEnd"/>
      <w:r w:rsidRPr="003A5C32">
        <w:t xml:space="preserve">, C. (2000) </w:t>
      </w:r>
      <w:r w:rsidRPr="003A5C32">
        <w:rPr>
          <w:i/>
        </w:rPr>
        <w:t>Available Light</w:t>
      </w:r>
      <w:r w:rsidRPr="003A5C32">
        <w:t xml:space="preserve">. Princeton: </w:t>
      </w:r>
      <w:smartTag w:uri="urn:schemas-microsoft-com:office:smarttags" w:element="place">
        <w:smartTag w:uri="urn:schemas-microsoft-com:office:smarttags" w:element="PlaceName">
          <w:r w:rsidRPr="003A5C32">
            <w:t>Princeton</w:t>
          </w:r>
        </w:smartTag>
        <w:r w:rsidRPr="003A5C32">
          <w:t xml:space="preserve"> </w:t>
        </w:r>
        <w:smartTag w:uri="urn:schemas-microsoft-com:office:smarttags" w:element="PlaceType">
          <w:r w:rsidRPr="003A5C32">
            <w:t>University</w:t>
          </w:r>
        </w:smartTag>
      </w:smartTag>
      <w:r w:rsidRPr="003A5C32">
        <w:t xml:space="preserve"> Press.</w:t>
      </w:r>
    </w:p>
    <w:p w:rsidR="004C2930" w:rsidRDefault="004C2930" w:rsidP="004C2930">
      <w:pPr>
        <w:autoSpaceDE w:val="0"/>
        <w:autoSpaceDN w:val="0"/>
        <w:adjustRightInd w:val="0"/>
        <w:spacing w:line="480" w:lineRule="auto"/>
      </w:pPr>
      <w:r w:rsidRPr="003A5C32">
        <w:t xml:space="preserve">O’Dea, J. (1994) ‘Pursuing truth in narrative research’, </w:t>
      </w:r>
      <w:r w:rsidRPr="003A5C32">
        <w:rPr>
          <w:i/>
        </w:rPr>
        <w:t>Journal of Philosophy of Education</w:t>
      </w:r>
      <w:r w:rsidRPr="003A5C32">
        <w:t>, 28(2)</w:t>
      </w:r>
      <w:r>
        <w:t>: 161–</w:t>
      </w:r>
      <w:r w:rsidRPr="003A5C32">
        <w:t xml:space="preserve">71.  </w:t>
      </w:r>
    </w:p>
    <w:p w:rsidR="004C2930" w:rsidRPr="003A5C32" w:rsidRDefault="004C2930" w:rsidP="004C2930">
      <w:pPr>
        <w:autoSpaceDE w:val="0"/>
        <w:autoSpaceDN w:val="0"/>
        <w:adjustRightInd w:val="0"/>
        <w:spacing w:line="480" w:lineRule="auto"/>
      </w:pPr>
    </w:p>
    <w:p w:rsidR="004C2930" w:rsidRDefault="004C2930" w:rsidP="004C2930">
      <w:pPr>
        <w:autoSpaceDE w:val="0"/>
        <w:autoSpaceDN w:val="0"/>
        <w:adjustRightInd w:val="0"/>
        <w:spacing w:line="480" w:lineRule="auto"/>
      </w:pPr>
      <w:r w:rsidRPr="003A5C32">
        <w:t xml:space="preserve">Pink, S. (2001) </w:t>
      </w:r>
      <w:r w:rsidRPr="003A5C32">
        <w:rPr>
          <w:i/>
        </w:rPr>
        <w:t>Doing Visual Ethnography</w:t>
      </w:r>
      <w:r w:rsidRPr="003A5C32">
        <w:t xml:space="preserve">. 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 xml:space="preserve">: Sage.  </w:t>
      </w:r>
    </w:p>
    <w:p w:rsidR="004C2930" w:rsidRPr="003A5C32" w:rsidRDefault="004C2930" w:rsidP="004C2930">
      <w:pPr>
        <w:autoSpaceDE w:val="0"/>
        <w:autoSpaceDN w:val="0"/>
        <w:adjustRightInd w:val="0"/>
        <w:spacing w:line="480" w:lineRule="auto"/>
      </w:pPr>
    </w:p>
    <w:p w:rsidR="004C2930" w:rsidRDefault="004C2930" w:rsidP="004C2930">
      <w:pPr>
        <w:autoSpaceDE w:val="0"/>
        <w:autoSpaceDN w:val="0"/>
        <w:adjustRightInd w:val="0"/>
        <w:spacing w:line="480" w:lineRule="auto"/>
      </w:pPr>
      <w:r w:rsidRPr="003A5C32">
        <w:t xml:space="preserve">Pink, S. (2009) </w:t>
      </w:r>
      <w:r w:rsidRPr="003A5C32">
        <w:rPr>
          <w:i/>
        </w:rPr>
        <w:t>Doing Sensory Ethnography</w:t>
      </w:r>
      <w:r w:rsidRPr="003A5C32">
        <w:t xml:space="preserve">. 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 xml:space="preserve">: Sage.  </w:t>
      </w:r>
    </w:p>
    <w:p w:rsidR="004C2930" w:rsidRPr="003A5C32" w:rsidRDefault="004C2930" w:rsidP="004C2930">
      <w:pPr>
        <w:autoSpaceDE w:val="0"/>
        <w:autoSpaceDN w:val="0"/>
        <w:adjustRightInd w:val="0"/>
        <w:spacing w:line="480" w:lineRule="auto"/>
      </w:pPr>
    </w:p>
    <w:p w:rsidR="004C2930" w:rsidRDefault="004C2930" w:rsidP="004C2930">
      <w:pPr>
        <w:autoSpaceDE w:val="0"/>
        <w:autoSpaceDN w:val="0"/>
        <w:adjustRightInd w:val="0"/>
        <w:spacing w:line="480" w:lineRule="auto"/>
      </w:pPr>
      <w:r w:rsidRPr="003A5C32">
        <w:t xml:space="preserve">Standish, P. (2001) ‘Data </w:t>
      </w:r>
      <w:r>
        <w:t>r</w:t>
      </w:r>
      <w:r w:rsidRPr="003A5C32">
        <w:t xml:space="preserve">eturn: </w:t>
      </w:r>
      <w:r>
        <w:t>t</w:t>
      </w:r>
      <w:r w:rsidRPr="003A5C32">
        <w:t xml:space="preserve">he sense of the given in educational research’, </w:t>
      </w:r>
      <w:r w:rsidRPr="003A5C32">
        <w:rPr>
          <w:i/>
        </w:rPr>
        <w:t>Journal of Philosophy of Education</w:t>
      </w:r>
      <w:r w:rsidRPr="003A5C32">
        <w:t>, 35(3): 497</w:t>
      </w:r>
      <w:r>
        <w:t>–</w:t>
      </w:r>
      <w:r w:rsidRPr="003A5C32">
        <w:t xml:space="preserve">518.  </w:t>
      </w:r>
    </w:p>
    <w:p w:rsidR="004C2930" w:rsidRPr="003A5C32" w:rsidRDefault="004C2930" w:rsidP="004C2930">
      <w:pPr>
        <w:autoSpaceDE w:val="0"/>
        <w:autoSpaceDN w:val="0"/>
        <w:adjustRightInd w:val="0"/>
        <w:spacing w:line="480" w:lineRule="auto"/>
      </w:pPr>
    </w:p>
    <w:p w:rsidR="004C2930" w:rsidRPr="003A5C32" w:rsidRDefault="004C2930" w:rsidP="004C2930">
      <w:pPr>
        <w:autoSpaceDE w:val="0"/>
        <w:autoSpaceDN w:val="0"/>
        <w:adjustRightInd w:val="0"/>
        <w:spacing w:line="480" w:lineRule="auto"/>
      </w:pPr>
      <w:proofErr w:type="spellStart"/>
      <w:r w:rsidRPr="003A5C32">
        <w:t>Strathern</w:t>
      </w:r>
      <w:proofErr w:type="spellEnd"/>
      <w:r w:rsidRPr="003A5C32">
        <w:t xml:space="preserve">, M. (2002) ‘Abstraction and </w:t>
      </w:r>
      <w:proofErr w:type="spellStart"/>
      <w:r>
        <w:t>d</w:t>
      </w:r>
      <w:r w:rsidRPr="003A5C32">
        <w:t>econtextualisation</w:t>
      </w:r>
      <w:proofErr w:type="spellEnd"/>
      <w:r w:rsidRPr="003A5C32">
        <w:t xml:space="preserve">: </w:t>
      </w:r>
      <w:r>
        <w:t>a</w:t>
      </w:r>
      <w:r w:rsidRPr="003A5C32">
        <w:t xml:space="preserve">n anthropological comment’, in </w:t>
      </w:r>
      <w:proofErr w:type="spellStart"/>
      <w:r w:rsidRPr="003A5C32">
        <w:t>Woolgar</w:t>
      </w:r>
      <w:proofErr w:type="spellEnd"/>
      <w:r w:rsidRPr="003A5C32">
        <w:t>, S. (</w:t>
      </w:r>
      <w:r>
        <w:t>e</w:t>
      </w:r>
      <w:r w:rsidRPr="003A5C32">
        <w:t xml:space="preserve">d.) </w:t>
      </w:r>
      <w:r w:rsidRPr="003A5C32">
        <w:rPr>
          <w:i/>
        </w:rPr>
        <w:t>Virtual Soci</w:t>
      </w:r>
      <w:r>
        <w:rPr>
          <w:i/>
        </w:rPr>
        <w:t xml:space="preserve">ety? </w:t>
      </w:r>
      <w:r w:rsidRPr="003A5C32">
        <w:rPr>
          <w:i/>
        </w:rPr>
        <w:t xml:space="preserve">Technology, </w:t>
      </w:r>
      <w:proofErr w:type="spellStart"/>
      <w:r>
        <w:rPr>
          <w:i/>
        </w:rPr>
        <w:t>C</w:t>
      </w:r>
      <w:r w:rsidRPr="003A5C32">
        <w:rPr>
          <w:i/>
        </w:rPr>
        <w:t>yberbole</w:t>
      </w:r>
      <w:proofErr w:type="spellEnd"/>
      <w:r w:rsidRPr="003A5C32">
        <w:rPr>
          <w:i/>
        </w:rPr>
        <w:t xml:space="preserve">, </w:t>
      </w:r>
      <w:r>
        <w:rPr>
          <w:i/>
        </w:rPr>
        <w:t>R</w:t>
      </w:r>
      <w:r w:rsidRPr="003A5C32">
        <w:rPr>
          <w:i/>
        </w:rPr>
        <w:t>eality</w:t>
      </w:r>
      <w:r>
        <w:t>.</w:t>
      </w:r>
      <w:r w:rsidRPr="003A5C32">
        <w:t xml:space="preserve">  </w:t>
      </w:r>
      <w:smartTag w:uri="urn:schemas-microsoft-com:office:smarttags" w:element="City">
        <w:smartTag w:uri="urn:schemas-microsoft-com:office:smarttags" w:element="place">
          <w:r w:rsidRPr="003A5C32">
            <w:t>Oxford</w:t>
          </w:r>
        </w:smartTag>
      </w:smartTag>
      <w:r w:rsidRPr="003A5C32">
        <w:t xml:space="preserve">: </w:t>
      </w:r>
      <w:smartTag w:uri="urn:schemas-microsoft-com:office:smarttags" w:element="place">
        <w:smartTag w:uri="urn:schemas-microsoft-com:office:smarttags" w:element="PlaceName">
          <w:r w:rsidRPr="003A5C32">
            <w:t>Oxford</w:t>
          </w:r>
        </w:smartTag>
        <w:r w:rsidRPr="003A5C32">
          <w:t xml:space="preserve"> </w:t>
        </w:r>
        <w:smartTag w:uri="urn:schemas-microsoft-com:office:smarttags" w:element="PlaceType">
          <w:r w:rsidRPr="003A5C32">
            <w:t>University</w:t>
          </w:r>
        </w:smartTag>
      </w:smartTag>
      <w:r w:rsidRPr="003A5C32">
        <w:t xml:space="preserve"> Press.  </w:t>
      </w:r>
    </w:p>
    <w:p w:rsidR="004C2930" w:rsidRPr="003A5C32" w:rsidRDefault="004C2930" w:rsidP="004C2930">
      <w:pPr>
        <w:spacing w:line="480" w:lineRule="auto"/>
      </w:pPr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C2930"/>
    <w:rsid w:val="004C2930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2010-11-05T11:15:00Z</dcterms:created>
  <dcterms:modified xsi:type="dcterms:W3CDTF">2010-11-05T11:15:00Z</dcterms:modified>
</cp:coreProperties>
</file>